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</w:rPr>
      </w:pPr>
      <w:bookmarkStart w:id="2" w:name="_GoBack"/>
      <w:bookmarkStart w:id="0" w:name="_Hlk99118284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北京交通大学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Hans"/>
        </w:rPr>
        <w:t>团支部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“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Hans"/>
        </w:rPr>
        <w:t>对标定级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Hans"/>
        </w:rPr>
        <w:t>评分标准（试行）</w:t>
      </w:r>
    </w:p>
    <w:bookmarkEnd w:id="2"/>
    <w:tbl>
      <w:tblPr>
        <w:tblStyle w:val="2"/>
        <w:tblW w:w="152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53"/>
        <w:gridCol w:w="3787"/>
        <w:gridCol w:w="4803"/>
        <w:gridCol w:w="5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bookmarkStart w:id="1" w:name="_Hlk99118675"/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考察维度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评价内容（单项计分上限）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计分规则</w:t>
            </w: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班子建设</w:t>
            </w:r>
          </w:p>
        </w:tc>
        <w:tc>
          <w:tcPr>
            <w:tcW w:w="4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班子配备齐整（3分）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书记支委配备齐整，随缺随补，共2分，每缺位1人扣0.5分。能够按期、合规开展换届工作，计1分。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（1）超过6个月没有书记或未按规定换届的，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本项评价内容不得分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（2）超过1年未配备书记的，或超过规定期限2年未换届的，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直接评定为软弱涣散团支部；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（3）支部成立未满1年未开展换届工作的，不评价换届工作。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班子运转有序（5分）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支委会一般每月召开1次，每次计0.5分，最高计4分。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支委会能够结合支部工作实际，凝练总结至少一项支部工作法，计1分。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支部团员超过7人但未成立支委会的，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本项评价内容不得分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基础团务</w:t>
            </w:r>
          </w:p>
        </w:tc>
        <w:tc>
          <w:tcPr>
            <w:tcW w:w="4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北京共青团线上系统（6分）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系统内团员底数清晰，团员信息完整，团员档案完备，活动记录完善，能够及时更新。每缺少1项次必填项扣1分。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线上系统数据与实际情况出入较大或严重不符、弄虚作假的，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直接评定为软弱涣散团支部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按时、足额缴纳团费（6分）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每延期或缺额缴纳团费1次扣1分。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规范使用团的标识（2分）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落实团旗、团徽、团歌使用管理规定要求。每在相关场合正确使用团旗、团徽、团歌1次，计1分。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使用不规范团旗团徽，或未按规定使用团旗团徽造成不良影响的，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本项评价内容不得分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落实“推优入党”制度（4分）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按照流程积极主动向党组织推荐优秀团员，与党组织衔接顺畅，得4分。</w:t>
            </w: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支部内本年度存在未通过“推优入党”制度而发展为入党积极分子的，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本项评价内容不得分。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tbl>
      <w:tblPr>
        <w:tblStyle w:val="2"/>
        <w:tblpPr w:leftFromText="180" w:rightFromText="180" w:vertAnchor="text" w:horzAnchor="page" w:tblpX="853" w:tblpY="157"/>
        <w:tblOverlap w:val="never"/>
        <w:tblW w:w="15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55"/>
        <w:gridCol w:w="3793"/>
        <w:gridCol w:w="4787"/>
        <w:gridCol w:w="5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考察维度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评价内容（单项计分上限）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计分规则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组织生活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召开组织生活会（2分）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定期开展组织生活会，每学年不少于1次，有主题有记录，计2分。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应开展但未开展的，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直接评定为软弱涣散团支部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召开团员大会（8分）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团员大会一般每季度召开1次，每次计2分，最高计8分。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组织团课（8分）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一般每学期安排上2次团课，每次计2分，最高计8分。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“青年大学习”网上主题团课学习不计入此项。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网上主题团课学习（2分）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本学年“青年大学习”网上主题团课学习完成率达到50%的，计2分。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本学年“青年大学习”网上主题团课学习完成率未达到50%的，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本项评价内容不得分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支部建设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团员队伍建设（8分）</w:t>
            </w:r>
          </w:p>
        </w:tc>
        <w:tc>
          <w:tcPr>
            <w:tcW w:w="4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支部每一人次参加学校团校（精英训练营、新任团支部书记培训班等）并顺利结业，计2分，若取得校级团校优秀学员再加1分；团支部每一人次参加学院团校并顺利结业，计1分，若取得院级团校优秀学员再加0.5分。</w:t>
            </w:r>
          </w:p>
        </w:tc>
        <w:tc>
          <w:tcPr>
            <w:tcW w:w="5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宣传阵地建设（10分）</w:t>
            </w:r>
          </w:p>
        </w:tc>
        <w:tc>
          <w:tcPr>
            <w:tcW w:w="4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至少建立一个支部宣传平台，计2分，最高计2分。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本学年宣传平台上每发布一条与促进团组织建设相关稿件计0.5分，稿件经院属媒体采用的，每篇计1分，经校属媒体或社会媒体采用的，每篇计2分。最高计8分。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（1）未建立支部宣传平台的，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本项评价内容不得分；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（2）建立多个宣传平台的，针对同一活动的同形式稿件发布在不同平台不累计加分；针对同一活动发布在不同平台的不同形式稿件（如文字、短视频等），可累计；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（3）同一稿件被多级媒体采用的，取最高分加分；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（4）活动总结类稿件应当在活动结束后3天内推发，否则不计分。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学风建设（12分）</w:t>
            </w:r>
          </w:p>
        </w:tc>
        <w:tc>
          <w:tcPr>
            <w:tcW w:w="4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团支部积极采用如集体自习、结对帮扶等多种举措促进学风建设。每实行一项举措，并长期坚持，计2分，最高计4分。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支部内每有1人次获学习优秀奖学金的，计1分，最高计8分。</w:t>
            </w:r>
          </w:p>
        </w:tc>
        <w:tc>
          <w:tcPr>
            <w:tcW w:w="5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考察维度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评价内容（单项计分上限）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计分规则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作用发挥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团员先进性彰显（4分）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团员全部成为注册志愿者并可在“北京共青团”系统查验，每缺少1人扣1分。</w:t>
            </w:r>
          </w:p>
        </w:tc>
        <w:tc>
          <w:tcPr>
            <w:tcW w:w="55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团员发挥模范作用（12分）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团员在学科竞赛、社会工作、文体活动等方面发挥模范作用。支部团员每获得院级荣誉奖项1项，计0.5分；每获得校级荣誉奖项1项，计1分；每获得市级荣誉奖项1项，计2分；每获得国家级及以上荣誉奖项1项，计3分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（1）本项所指“荣誉奖项”主要指科技竞赛、就业创业比赛、文体活动、志愿或实践表彰、三好学生、优秀学生干部、优秀共青团干部、优秀共青团员、十佳（优秀）团支书等；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（2）本项所指“荣誉奖项”不包括各等级学习优秀奖学金；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（3）支部内团员多人共同参与的集体项目，仅计算1次；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（4）以支部为单位获得的荣誉奖项，不计入此项。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服务中心大局成效（8分）</w:t>
            </w:r>
          </w:p>
        </w:tc>
        <w:tc>
          <w:tcPr>
            <w:tcW w:w="478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围绕思想引领、志愿服务、济困助学、就业创业、岗位建功、实践教育等领域，每学期组织开展活动不少于2次团日活动，每开展1次计2分，最高计8分。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已在其他评价内容中进行计分的活动，不计入此项。</w:t>
            </w:r>
          </w:p>
        </w:tc>
      </w:tr>
      <w:bookmarkEnd w:id="1"/>
    </w:tbl>
    <w:p>
      <w:r>
        <w:rPr>
          <w:rFonts w:ascii="Times New Roman" w:hAnsi="Times New Roman" w:eastAsia="仿宋" w:cs="Times New Roman"/>
          <w:sz w:val="24"/>
          <w:szCs w:val="24"/>
        </w:rPr>
        <w:t>说明：备注</w:t>
      </w:r>
      <w:r>
        <w:rPr>
          <w:rFonts w:ascii="Times New Roman" w:hAnsi="Times New Roman" w:eastAsia="仿宋" w:cs="Times New Roman"/>
          <w:color w:val="000000"/>
          <w:spacing w:val="-6"/>
          <w:sz w:val="24"/>
          <w:szCs w:val="24"/>
        </w:rPr>
        <w:t>中涉及“直接评定为软弱涣散团支部”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mU1MzcwMTVjZDJlZjY0OGNkNTYzNTY2ZDgzOTcifQ=="/>
  </w:docVars>
  <w:rsids>
    <w:rsidRoot w:val="0ACF3661"/>
    <w:rsid w:val="0AC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2024-04-02T05:33:00Z</dcterms:created>
  <dc:creator>WPS_1656895667</dc:creator>
  <cp:lastModifiedBy>WPS_1656895667</cp:lastModifiedBy>
  <dcterms:modified xsi:type="dcterms:W3CDTF">2024-04-02T05:35:32Z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0F79D3E075214072B6ED83DD460DC4F3_11</vt:lpwstr>
  </property>
</Properties>
</file>