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《2019年度高校毕业生需求信息表》</w:t>
      </w:r>
    </w:p>
    <w:bookmarkEnd w:id="0"/>
    <w:tbl>
      <w:tblPr>
        <w:tblStyle w:val="3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993"/>
        <w:gridCol w:w="2268"/>
        <w:gridCol w:w="85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计划财务处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（结算中心）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会计学、财务管理相关专业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艺术/管理/医药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中医药发展中心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基建处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医管处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党委办公室（局业务主管社会组织党委办公室） 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研究生学历、中共党员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团委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纪检监察处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管理/政法/医药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研究生学历、中共党员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院本部审计处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审计/财务/工程学相关专业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院本部国际合作处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管理/医药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研究生学历，具备较强的英文听、说、读、写、译能力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世界针灸学会联合会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英语/新闻/管理/针灸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90EF5"/>
    <w:rsid w:val="3AE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2019-04-03T02:12:00Z</dcterms:created>
  <dc:creator>车玉霞</dc:creator>
  <cp:lastModifiedBy>车玉霞</cp:lastModifiedBy>
  <dcterms:modified xsi:type="dcterms:W3CDTF">2019-04-03T02:13:16Z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