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1C" w:rsidRPr="001459E7" w:rsidRDefault="00F4361C" w:rsidP="00F4361C">
      <w:pPr>
        <w:pStyle w:val="2"/>
      </w:pPr>
      <w:bookmarkStart w:id="0" w:name="_Toc423370061"/>
      <w:bookmarkStart w:id="1" w:name="_Toc423443869"/>
      <w:r w:rsidRPr="001459E7">
        <w:rPr>
          <w:rFonts w:hint="eastAsia"/>
        </w:rPr>
        <w:t>北京交通大学</w:t>
      </w:r>
      <w:bookmarkStart w:id="2" w:name="_GoBack"/>
      <w:bookmarkEnd w:id="0"/>
      <w:bookmarkEnd w:id="1"/>
      <w:bookmarkEnd w:id="2"/>
    </w:p>
    <w:p w:rsidR="00F4361C" w:rsidRDefault="00F4361C" w:rsidP="00F4361C">
      <w:pPr>
        <w:pStyle w:val="2"/>
      </w:pPr>
      <w:bookmarkStart w:id="3" w:name="_Toc423370062"/>
      <w:bookmarkStart w:id="4" w:name="_Toc423443870"/>
      <w:r w:rsidRPr="001459E7">
        <w:rPr>
          <w:rFonts w:hint="eastAsia"/>
        </w:rPr>
        <w:t>本科生参加大学生科研创新活动管理办法</w:t>
      </w:r>
      <w:bookmarkEnd w:id="3"/>
      <w:bookmarkEnd w:id="4"/>
    </w:p>
    <w:p w:rsidR="00F4361C" w:rsidRDefault="00F4361C" w:rsidP="00F4361C">
      <w:pPr>
        <w:snapToGrid w:val="0"/>
        <w:spacing w:line="240" w:lineRule="exact"/>
        <w:jc w:val="center"/>
        <w:rPr>
          <w:rFonts w:ascii="宋体" w:hAnsi="宋体"/>
          <w:b/>
          <w:bCs/>
          <w:kern w:val="0"/>
          <w:szCs w:val="21"/>
        </w:rPr>
      </w:pPr>
    </w:p>
    <w:p w:rsidR="00F4361C" w:rsidRPr="00DF5A40" w:rsidRDefault="00F4361C" w:rsidP="00F4361C">
      <w:pPr>
        <w:snapToGrid w:val="0"/>
        <w:spacing w:line="240" w:lineRule="exact"/>
        <w:jc w:val="center"/>
        <w:rPr>
          <w:rFonts w:ascii="宋体" w:hAnsi="宋体"/>
          <w:b/>
          <w:bCs/>
          <w:kern w:val="0"/>
          <w:szCs w:val="21"/>
        </w:rPr>
      </w:pPr>
    </w:p>
    <w:p w:rsidR="00F4361C" w:rsidRDefault="00F4361C" w:rsidP="00F4361C">
      <w:pPr>
        <w:snapToGrid w:val="0"/>
        <w:spacing w:line="240" w:lineRule="exact"/>
        <w:ind w:firstLineChars="200" w:firstLine="360"/>
        <w:rPr>
          <w:rFonts w:ascii="仿宋_GB2312" w:eastAsia="仿宋_GB2312" w:hAnsi="宋体"/>
          <w:bCs/>
          <w:sz w:val="18"/>
          <w:szCs w:val="18"/>
        </w:rPr>
      </w:pPr>
      <w:r>
        <w:rPr>
          <w:rFonts w:ascii="仿宋_GB2312" w:eastAsia="仿宋_GB2312" w:hAnsi="宋体" w:hint="eastAsia"/>
          <w:bCs/>
          <w:sz w:val="18"/>
          <w:szCs w:val="18"/>
        </w:rPr>
        <w:t>开展大学生科研创新活动旨在激发学生的创新意识，培养学生的创新能力和团队精神，提升学生在创新基础上的创业能力，营造校园的学术氛围。为了更好地调动广大学生参与大学生科研创新活动的积极性，特制定本办法。</w:t>
      </w:r>
    </w:p>
    <w:p w:rsidR="00F4361C" w:rsidRPr="00D77890" w:rsidRDefault="00F4361C" w:rsidP="00F4361C">
      <w:pPr>
        <w:snapToGrid w:val="0"/>
        <w:spacing w:line="240" w:lineRule="exact"/>
        <w:ind w:firstLineChars="200" w:firstLine="360"/>
        <w:rPr>
          <w:rFonts w:ascii="仿宋_GB2312" w:eastAsia="仿宋_GB2312" w:hAnsi="宋体"/>
          <w:bCs/>
          <w:sz w:val="18"/>
          <w:szCs w:val="18"/>
        </w:rPr>
      </w:pPr>
      <w:r w:rsidRPr="00D77890">
        <w:rPr>
          <w:rFonts w:ascii="仿宋_GB2312" w:eastAsia="仿宋_GB2312" w:hAnsi="宋体" w:hint="eastAsia"/>
          <w:bCs/>
          <w:sz w:val="18"/>
          <w:szCs w:val="18"/>
        </w:rPr>
        <w:t>大学生科研创新活动是实施高等学校质量工程，推进人才培养模式改革，培养高素质创新人才的重要举措之一，主要包括科研训练项目和各类学科竞赛。</w:t>
      </w:r>
    </w:p>
    <w:p w:rsidR="00F4361C" w:rsidRPr="00D77890" w:rsidRDefault="00F4361C" w:rsidP="00F4361C">
      <w:pPr>
        <w:snapToGrid w:val="0"/>
        <w:spacing w:line="240" w:lineRule="exact"/>
        <w:ind w:firstLineChars="200" w:firstLine="360"/>
        <w:rPr>
          <w:rFonts w:ascii="仿宋_GB2312" w:eastAsia="仿宋_GB2312" w:hAnsi="宋体"/>
          <w:bCs/>
          <w:sz w:val="18"/>
          <w:szCs w:val="18"/>
        </w:rPr>
      </w:pPr>
      <w:r w:rsidRPr="00D77890">
        <w:rPr>
          <w:rFonts w:ascii="仿宋_GB2312" w:eastAsia="仿宋_GB2312" w:hAnsi="宋体" w:hint="eastAsia"/>
          <w:bCs/>
          <w:sz w:val="18"/>
          <w:szCs w:val="18"/>
        </w:rPr>
        <w:t>科研训练项目包括三类：一是教育部实施的大学生创新性实验计划项目、大学生创新创业训练计划项目以及今后实施的各类科研训练项目</w:t>
      </w:r>
      <w:r>
        <w:rPr>
          <w:rFonts w:ascii="仿宋_GB2312" w:eastAsia="仿宋_GB2312" w:hAnsi="宋体" w:hint="eastAsia"/>
          <w:bCs/>
          <w:sz w:val="18"/>
          <w:szCs w:val="18"/>
        </w:rPr>
        <w:t>；</w:t>
      </w:r>
      <w:r w:rsidRPr="00D77890">
        <w:rPr>
          <w:rFonts w:ascii="仿宋_GB2312" w:eastAsia="仿宋_GB2312" w:hAnsi="宋体" w:hint="eastAsia"/>
          <w:bCs/>
          <w:sz w:val="18"/>
          <w:szCs w:val="18"/>
        </w:rPr>
        <w:t>二是北京市教育委员会实施的大学生科学研究与创业行动计划项目和今后实施的各类科研训练项目</w:t>
      </w:r>
      <w:r>
        <w:rPr>
          <w:rFonts w:ascii="仿宋_GB2312" w:eastAsia="仿宋_GB2312" w:hAnsi="宋体" w:hint="eastAsia"/>
          <w:bCs/>
          <w:sz w:val="18"/>
          <w:szCs w:val="18"/>
        </w:rPr>
        <w:t>；</w:t>
      </w:r>
      <w:r w:rsidRPr="00D77890">
        <w:rPr>
          <w:rFonts w:ascii="仿宋_GB2312" w:eastAsia="仿宋_GB2312" w:hAnsi="宋体" w:hint="eastAsia"/>
          <w:bCs/>
          <w:sz w:val="18"/>
          <w:szCs w:val="18"/>
        </w:rPr>
        <w:t>三是学校实施的各类科研训练项目。</w:t>
      </w:r>
    </w:p>
    <w:p w:rsidR="00F4361C" w:rsidRPr="00D77890" w:rsidRDefault="00F4361C" w:rsidP="00F4361C">
      <w:pPr>
        <w:snapToGrid w:val="0"/>
        <w:spacing w:line="240" w:lineRule="exact"/>
        <w:ind w:firstLineChars="200" w:firstLine="360"/>
        <w:rPr>
          <w:rFonts w:ascii="仿宋_GB2312" w:eastAsia="仿宋_GB2312" w:hAnsi="宋体"/>
          <w:bCs/>
          <w:sz w:val="18"/>
          <w:szCs w:val="18"/>
        </w:rPr>
      </w:pPr>
      <w:r w:rsidRPr="00D77890">
        <w:rPr>
          <w:rFonts w:ascii="仿宋_GB2312" w:eastAsia="仿宋_GB2312" w:hAnsi="宋体" w:hint="eastAsia"/>
          <w:bCs/>
          <w:sz w:val="18"/>
          <w:szCs w:val="18"/>
        </w:rPr>
        <w:t>学科竞赛包括由上级教育主管部门、国内外各行业协会或学会等主办的各类学科竞赛，按学校相关文件认定为国际级、国家级、省（部）级、校级四级。</w:t>
      </w:r>
    </w:p>
    <w:p w:rsidR="00F4361C" w:rsidRPr="00D77890" w:rsidRDefault="00F4361C" w:rsidP="00F4361C">
      <w:pPr>
        <w:snapToGrid w:val="0"/>
        <w:spacing w:line="240" w:lineRule="exact"/>
        <w:ind w:firstLineChars="200" w:firstLine="360"/>
        <w:rPr>
          <w:rFonts w:ascii="仿宋_GB2312" w:eastAsia="仿宋_GB2312" w:hAnsi="宋体"/>
          <w:bCs/>
          <w:sz w:val="18"/>
          <w:szCs w:val="18"/>
        </w:rPr>
      </w:pPr>
    </w:p>
    <w:p w:rsidR="00F4361C" w:rsidRPr="00B84288" w:rsidRDefault="00F4361C" w:rsidP="00F4361C">
      <w:pPr>
        <w:snapToGrid w:val="0"/>
        <w:spacing w:line="240" w:lineRule="exact"/>
        <w:jc w:val="left"/>
        <w:rPr>
          <w:rFonts w:ascii="宋体" w:hAnsi="宋体"/>
          <w:b/>
          <w:bCs/>
          <w:kern w:val="0"/>
          <w:szCs w:val="21"/>
        </w:rPr>
      </w:pPr>
      <w:r w:rsidRPr="00B84288">
        <w:rPr>
          <w:rFonts w:ascii="宋体" w:hAnsi="宋体" w:hint="eastAsia"/>
          <w:b/>
          <w:bCs/>
          <w:kern w:val="0"/>
          <w:szCs w:val="21"/>
        </w:rPr>
        <w:t>一、科研训练项目</w:t>
      </w:r>
    </w:p>
    <w:p w:rsidR="00F4361C" w:rsidRPr="00D77890" w:rsidRDefault="00F4361C" w:rsidP="00F4361C">
      <w:pPr>
        <w:snapToGrid w:val="0"/>
        <w:spacing w:line="240" w:lineRule="exact"/>
        <w:ind w:firstLineChars="200" w:firstLine="360"/>
        <w:rPr>
          <w:rFonts w:ascii="仿宋_GB2312" w:eastAsia="仿宋_GB2312" w:hAnsi="宋体" w:cs="宋体"/>
          <w:sz w:val="18"/>
          <w:szCs w:val="18"/>
        </w:rPr>
      </w:pPr>
      <w:r w:rsidRPr="00D77890">
        <w:rPr>
          <w:rFonts w:ascii="仿宋_GB2312" w:eastAsia="仿宋_GB2312" w:hAnsi="宋体" w:cs="宋体" w:hint="eastAsia"/>
          <w:sz w:val="18"/>
          <w:szCs w:val="18"/>
        </w:rPr>
        <w:t>1.为保证学生对各类科研</w:t>
      </w:r>
      <w:r w:rsidRPr="00D77890">
        <w:rPr>
          <w:rFonts w:ascii="仿宋_GB2312" w:eastAsia="仿宋_GB2312" w:hAnsi="宋体" w:hint="eastAsia"/>
          <w:bCs/>
          <w:sz w:val="18"/>
          <w:szCs w:val="18"/>
        </w:rPr>
        <w:t>训练</w:t>
      </w:r>
      <w:r w:rsidRPr="00D77890">
        <w:rPr>
          <w:rFonts w:ascii="仿宋_GB2312" w:eastAsia="仿宋_GB2312" w:hAnsi="宋体" w:cs="宋体" w:hint="eastAsia"/>
          <w:sz w:val="18"/>
          <w:szCs w:val="18"/>
        </w:rPr>
        <w:t>项目研究投入的精力和时间，学生在项目研究期间，每学期选修课程的学分可不受限制。</w:t>
      </w:r>
    </w:p>
    <w:p w:rsidR="00F4361C" w:rsidRPr="00D77890" w:rsidRDefault="00F4361C" w:rsidP="00F4361C">
      <w:pPr>
        <w:snapToGrid w:val="0"/>
        <w:spacing w:line="240" w:lineRule="exact"/>
        <w:ind w:firstLineChars="200" w:firstLine="360"/>
        <w:rPr>
          <w:rFonts w:ascii="仿宋_GB2312" w:eastAsia="仿宋_GB2312" w:hAnsi="宋体"/>
          <w:sz w:val="18"/>
          <w:szCs w:val="18"/>
        </w:rPr>
      </w:pPr>
      <w:r w:rsidRPr="00D77890">
        <w:rPr>
          <w:rFonts w:ascii="仿宋_GB2312" w:eastAsia="仿宋_GB2312" w:hAnsi="宋体" w:cs="宋体" w:hint="eastAsia"/>
          <w:sz w:val="18"/>
          <w:szCs w:val="18"/>
        </w:rPr>
        <w:t>2.</w:t>
      </w:r>
      <w:r w:rsidRPr="00D77890">
        <w:rPr>
          <w:rFonts w:ascii="仿宋_GB2312" w:eastAsia="仿宋_GB2312" w:hAnsi="宋体" w:hint="eastAsia"/>
          <w:sz w:val="18"/>
          <w:szCs w:val="18"/>
        </w:rPr>
        <w:t>学生在选修与课题研究相关的课程时，在选课结束后如果未选中相关课程，</w:t>
      </w:r>
      <w:r w:rsidRPr="00D77890">
        <w:rPr>
          <w:rFonts w:ascii="仿宋_GB2312" w:eastAsia="仿宋_GB2312" w:hAnsi="宋体" w:hint="eastAsia"/>
          <w:bCs/>
          <w:sz w:val="18"/>
          <w:szCs w:val="18"/>
        </w:rPr>
        <w:t>在处理选课遗留问题阶段可持指导教师证明到学院教学科登记</w:t>
      </w:r>
      <w:r w:rsidRPr="00D77890">
        <w:rPr>
          <w:rFonts w:ascii="仿宋_GB2312" w:eastAsia="仿宋_GB2312" w:hAnsi="宋体" w:hint="eastAsia"/>
          <w:sz w:val="18"/>
          <w:szCs w:val="18"/>
        </w:rPr>
        <w:t>，由学院汇总后报教务处补选。</w:t>
      </w:r>
    </w:p>
    <w:p w:rsidR="00F4361C" w:rsidRDefault="00F4361C" w:rsidP="00F4361C">
      <w:pPr>
        <w:snapToGrid w:val="0"/>
        <w:spacing w:line="240" w:lineRule="exact"/>
        <w:ind w:firstLineChars="200" w:firstLine="360"/>
        <w:rPr>
          <w:rFonts w:ascii="仿宋_GB2312" w:eastAsia="仿宋_GB2312" w:hAnsi="宋体"/>
          <w:bCs/>
          <w:sz w:val="18"/>
          <w:szCs w:val="18"/>
        </w:rPr>
      </w:pPr>
      <w:r w:rsidRPr="00D77890">
        <w:rPr>
          <w:rFonts w:ascii="仿宋_GB2312" w:eastAsia="仿宋_GB2312" w:hAnsi="宋体" w:hint="eastAsia"/>
          <w:bCs/>
          <w:sz w:val="18"/>
          <w:szCs w:val="18"/>
        </w:rPr>
        <w:t>3.各类科研训练项目结题验收通过后，学生可根据项目级别</w:t>
      </w:r>
      <w:r>
        <w:rPr>
          <w:rFonts w:ascii="仿宋_GB2312" w:eastAsia="仿宋_GB2312" w:hAnsi="宋体" w:hint="eastAsia"/>
          <w:bCs/>
          <w:sz w:val="18"/>
          <w:szCs w:val="18"/>
        </w:rPr>
        <w:t>，</w:t>
      </w:r>
      <w:r w:rsidRPr="00937B85">
        <w:rPr>
          <w:rFonts w:ascii="仿宋_GB2312" w:eastAsia="仿宋_GB2312" w:hAnsi="宋体" w:hint="eastAsia"/>
          <w:bCs/>
          <w:sz w:val="18"/>
          <w:szCs w:val="18"/>
        </w:rPr>
        <w:t>成绩记为“P”。</w:t>
      </w:r>
    </w:p>
    <w:p w:rsidR="00F4361C" w:rsidRDefault="00F4361C" w:rsidP="00F4361C">
      <w:pPr>
        <w:pStyle w:val="20"/>
        <w:snapToGrid w:val="0"/>
        <w:spacing w:line="240" w:lineRule="exact"/>
        <w:ind w:firstLineChars="0" w:firstLine="0"/>
        <w:jc w:val="center"/>
        <w:rPr>
          <w:rFonts w:ascii="仿宋_GB2312" w:eastAsia="仿宋_GB2312" w:hAnsi="宋体"/>
          <w:kern w:val="2"/>
          <w:sz w:val="18"/>
          <w:szCs w:val="18"/>
        </w:rPr>
      </w:pPr>
    </w:p>
    <w:p w:rsidR="00F4361C" w:rsidRPr="00D77890" w:rsidRDefault="00F4361C" w:rsidP="00F4361C">
      <w:pPr>
        <w:pStyle w:val="20"/>
        <w:snapToGrid w:val="0"/>
        <w:spacing w:line="240" w:lineRule="exact"/>
        <w:ind w:firstLineChars="0" w:firstLine="0"/>
        <w:jc w:val="center"/>
        <w:rPr>
          <w:rFonts w:ascii="仿宋_GB2312" w:eastAsia="仿宋_GB2312" w:hAnsi="宋体"/>
          <w:kern w:val="2"/>
          <w:sz w:val="18"/>
          <w:szCs w:val="18"/>
        </w:rPr>
      </w:pPr>
      <w:r w:rsidRPr="00D77890">
        <w:rPr>
          <w:rFonts w:ascii="仿宋_GB2312" w:eastAsia="仿宋_GB2312" w:hAnsi="宋体" w:hint="eastAsia"/>
          <w:kern w:val="2"/>
          <w:sz w:val="18"/>
          <w:szCs w:val="18"/>
        </w:rPr>
        <w:t>表1 本科生参加各类</w:t>
      </w:r>
      <w:r w:rsidRPr="00D77890">
        <w:rPr>
          <w:rFonts w:ascii="仿宋_GB2312" w:eastAsia="仿宋_GB2312" w:hAnsi="宋体" w:cs="宋体" w:hint="eastAsia"/>
          <w:sz w:val="18"/>
          <w:szCs w:val="18"/>
        </w:rPr>
        <w:t>科研训练项目</w:t>
      </w:r>
      <w:r w:rsidRPr="00D77890">
        <w:rPr>
          <w:rFonts w:ascii="仿宋_GB2312" w:eastAsia="仿宋_GB2312" w:hAnsi="宋体" w:hint="eastAsia"/>
          <w:kern w:val="2"/>
          <w:sz w:val="18"/>
          <w:szCs w:val="18"/>
        </w:rPr>
        <w:t>学分标准</w:t>
      </w:r>
    </w:p>
    <w:tbl>
      <w:tblPr>
        <w:tblStyle w:val="a4"/>
        <w:tblW w:w="0" w:type="auto"/>
        <w:jc w:val="center"/>
        <w:tblLook w:val="04A0" w:firstRow="1" w:lastRow="0" w:firstColumn="1" w:lastColumn="0" w:noHBand="0" w:noVBand="1"/>
      </w:tblPr>
      <w:tblGrid>
        <w:gridCol w:w="1477"/>
        <w:gridCol w:w="1354"/>
        <w:gridCol w:w="1607"/>
        <w:gridCol w:w="1448"/>
      </w:tblGrid>
      <w:tr w:rsidR="00F4361C" w:rsidRPr="00937B85" w:rsidTr="005C57D3">
        <w:trPr>
          <w:trHeight w:hRule="exact" w:val="397"/>
          <w:jc w:val="center"/>
        </w:trPr>
        <w:tc>
          <w:tcPr>
            <w:tcW w:w="1477"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项目级别</w:t>
            </w:r>
          </w:p>
        </w:tc>
        <w:tc>
          <w:tcPr>
            <w:tcW w:w="1354"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负责人</w:t>
            </w:r>
          </w:p>
        </w:tc>
        <w:tc>
          <w:tcPr>
            <w:tcW w:w="1607"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第二、</w:t>
            </w:r>
            <w:proofErr w:type="gramStart"/>
            <w:r w:rsidRPr="00937B85">
              <w:rPr>
                <w:rFonts w:ascii="仿宋_GB2312" w:eastAsia="仿宋_GB2312" w:hAnsi="宋体" w:hint="eastAsia"/>
                <w:kern w:val="2"/>
                <w:sz w:val="18"/>
                <w:szCs w:val="21"/>
              </w:rPr>
              <w:t>三完成</w:t>
            </w:r>
            <w:proofErr w:type="gramEnd"/>
            <w:r w:rsidRPr="00937B85">
              <w:rPr>
                <w:rFonts w:ascii="仿宋_GB2312" w:eastAsia="仿宋_GB2312" w:hAnsi="宋体" w:hint="eastAsia"/>
                <w:kern w:val="2"/>
                <w:sz w:val="18"/>
                <w:szCs w:val="21"/>
              </w:rPr>
              <w:t>人</w:t>
            </w:r>
          </w:p>
        </w:tc>
        <w:tc>
          <w:tcPr>
            <w:tcW w:w="1448"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其他完成人</w:t>
            </w:r>
          </w:p>
        </w:tc>
      </w:tr>
      <w:tr w:rsidR="00F4361C" w:rsidRPr="00937B85" w:rsidTr="005C57D3">
        <w:trPr>
          <w:trHeight w:hRule="exact" w:val="397"/>
          <w:jc w:val="center"/>
        </w:trPr>
        <w:tc>
          <w:tcPr>
            <w:tcW w:w="1477"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国家级</w:t>
            </w:r>
          </w:p>
        </w:tc>
        <w:tc>
          <w:tcPr>
            <w:tcW w:w="1354"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3</w:t>
            </w:r>
          </w:p>
        </w:tc>
        <w:tc>
          <w:tcPr>
            <w:tcW w:w="1607"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2</w:t>
            </w:r>
          </w:p>
        </w:tc>
        <w:tc>
          <w:tcPr>
            <w:tcW w:w="1448"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1.5</w:t>
            </w:r>
          </w:p>
        </w:tc>
      </w:tr>
      <w:tr w:rsidR="00F4361C" w:rsidRPr="00937B85" w:rsidTr="005C57D3">
        <w:trPr>
          <w:trHeight w:hRule="exact" w:val="397"/>
          <w:jc w:val="center"/>
        </w:trPr>
        <w:tc>
          <w:tcPr>
            <w:tcW w:w="1477"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市级</w:t>
            </w:r>
          </w:p>
        </w:tc>
        <w:tc>
          <w:tcPr>
            <w:tcW w:w="1354"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2</w:t>
            </w:r>
          </w:p>
        </w:tc>
        <w:tc>
          <w:tcPr>
            <w:tcW w:w="1607"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1.5</w:t>
            </w:r>
          </w:p>
        </w:tc>
        <w:tc>
          <w:tcPr>
            <w:tcW w:w="1448"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1</w:t>
            </w:r>
          </w:p>
        </w:tc>
      </w:tr>
      <w:tr w:rsidR="00F4361C" w:rsidRPr="00937B85" w:rsidTr="005C57D3">
        <w:trPr>
          <w:trHeight w:hRule="exact" w:val="397"/>
          <w:jc w:val="center"/>
        </w:trPr>
        <w:tc>
          <w:tcPr>
            <w:tcW w:w="1477"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校级</w:t>
            </w:r>
          </w:p>
        </w:tc>
        <w:tc>
          <w:tcPr>
            <w:tcW w:w="1354"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1</w:t>
            </w:r>
          </w:p>
        </w:tc>
        <w:tc>
          <w:tcPr>
            <w:tcW w:w="1607"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0.5</w:t>
            </w:r>
          </w:p>
        </w:tc>
        <w:tc>
          <w:tcPr>
            <w:tcW w:w="1448" w:type="dxa"/>
            <w:vAlign w:val="center"/>
          </w:tcPr>
          <w:p w:rsidR="00F4361C" w:rsidRPr="00937B85" w:rsidRDefault="00F4361C" w:rsidP="005C57D3">
            <w:pPr>
              <w:pStyle w:val="20"/>
              <w:snapToGrid w:val="0"/>
              <w:spacing w:line="240" w:lineRule="auto"/>
              <w:ind w:firstLineChars="0" w:firstLine="0"/>
              <w:jc w:val="center"/>
              <w:rPr>
                <w:rFonts w:ascii="仿宋_GB2312" w:eastAsia="仿宋_GB2312" w:hAnsi="宋体"/>
                <w:kern w:val="2"/>
                <w:sz w:val="18"/>
                <w:szCs w:val="21"/>
              </w:rPr>
            </w:pPr>
            <w:r w:rsidRPr="00937B85">
              <w:rPr>
                <w:rFonts w:ascii="仿宋_GB2312" w:eastAsia="仿宋_GB2312" w:hAnsi="宋体" w:hint="eastAsia"/>
                <w:kern w:val="2"/>
                <w:sz w:val="18"/>
                <w:szCs w:val="21"/>
              </w:rPr>
              <w:t>0.5</w:t>
            </w:r>
          </w:p>
        </w:tc>
      </w:tr>
    </w:tbl>
    <w:p w:rsidR="00F4361C" w:rsidRDefault="00F4361C" w:rsidP="00F4361C">
      <w:pPr>
        <w:snapToGrid w:val="0"/>
        <w:spacing w:line="240" w:lineRule="exact"/>
        <w:ind w:firstLineChars="200" w:firstLine="360"/>
        <w:rPr>
          <w:rFonts w:ascii="仿宋_GB2312" w:eastAsia="仿宋_GB2312" w:hAnsi="宋体"/>
          <w:bCs/>
          <w:sz w:val="18"/>
          <w:szCs w:val="18"/>
        </w:rPr>
      </w:pPr>
    </w:p>
    <w:p w:rsidR="00F4361C" w:rsidRPr="00D77890" w:rsidRDefault="00F4361C" w:rsidP="00F4361C">
      <w:pPr>
        <w:snapToGrid w:val="0"/>
        <w:spacing w:line="240" w:lineRule="exact"/>
        <w:ind w:firstLineChars="200" w:firstLine="360"/>
        <w:rPr>
          <w:rFonts w:ascii="仿宋_GB2312" w:eastAsia="仿宋_GB2312" w:hAnsi="宋体"/>
          <w:sz w:val="18"/>
          <w:szCs w:val="18"/>
        </w:rPr>
      </w:pPr>
      <w:r w:rsidRPr="00D77890">
        <w:rPr>
          <w:rFonts w:ascii="仿宋_GB2312" w:eastAsia="仿宋_GB2312" w:hAnsi="宋体" w:hint="eastAsia"/>
          <w:bCs/>
          <w:sz w:val="18"/>
          <w:szCs w:val="18"/>
        </w:rPr>
        <w:t>4.同一学年参加多个</w:t>
      </w:r>
      <w:r w:rsidRPr="00D77890">
        <w:rPr>
          <w:rFonts w:ascii="仿宋_GB2312" w:eastAsia="仿宋_GB2312" w:hAnsi="宋体" w:hint="eastAsia"/>
          <w:sz w:val="18"/>
          <w:szCs w:val="18"/>
        </w:rPr>
        <w:t>项目</w:t>
      </w:r>
      <w:r w:rsidRPr="00D77890">
        <w:rPr>
          <w:rFonts w:ascii="仿宋_GB2312" w:eastAsia="仿宋_GB2312" w:hAnsi="宋体" w:hint="eastAsia"/>
          <w:bCs/>
          <w:sz w:val="18"/>
          <w:szCs w:val="18"/>
        </w:rPr>
        <w:t>的按最高级别项目获得相应的学分</w:t>
      </w:r>
      <w:r w:rsidRPr="00D77890">
        <w:rPr>
          <w:rFonts w:ascii="仿宋_GB2312" w:eastAsia="仿宋_GB2312" w:hAnsi="宋体" w:hint="eastAsia"/>
          <w:sz w:val="18"/>
          <w:szCs w:val="18"/>
        </w:rPr>
        <w:t>，不作累计。不同学年参加不同项目的可累计获得学分。</w:t>
      </w:r>
    </w:p>
    <w:p w:rsidR="00F4361C" w:rsidRPr="00D77890" w:rsidRDefault="00F4361C" w:rsidP="00F4361C">
      <w:pPr>
        <w:snapToGrid w:val="0"/>
        <w:spacing w:line="240" w:lineRule="exact"/>
        <w:ind w:firstLineChars="200" w:firstLine="360"/>
        <w:rPr>
          <w:rFonts w:ascii="仿宋_GB2312" w:eastAsia="仿宋_GB2312" w:hAnsi="宋体"/>
          <w:sz w:val="18"/>
          <w:szCs w:val="18"/>
        </w:rPr>
      </w:pPr>
      <w:r w:rsidRPr="00D77890">
        <w:rPr>
          <w:rFonts w:ascii="仿宋_GB2312" w:eastAsia="仿宋_GB2312" w:hAnsi="宋体" w:hint="eastAsia"/>
          <w:sz w:val="18"/>
          <w:szCs w:val="18"/>
        </w:rPr>
        <w:t>5.项目结题验收通过后，学院</w:t>
      </w:r>
      <w:r w:rsidRPr="00D77890">
        <w:rPr>
          <w:rFonts w:ascii="仿宋_GB2312" w:eastAsia="仿宋_GB2312" w:hAnsi="宋体" w:hint="eastAsia"/>
          <w:bCs/>
          <w:sz w:val="18"/>
          <w:szCs w:val="18"/>
        </w:rPr>
        <w:t>按照上述办法填写学生学分登记表报教务处审核</w:t>
      </w:r>
      <w:r w:rsidRPr="00D77890">
        <w:rPr>
          <w:rFonts w:ascii="仿宋_GB2312" w:eastAsia="仿宋_GB2312" w:hAnsi="宋体" w:hint="eastAsia"/>
          <w:sz w:val="18"/>
          <w:szCs w:val="18"/>
        </w:rPr>
        <w:t>，审核通过后备案，毕业前汇总并录入综合教务系统。</w:t>
      </w:r>
    </w:p>
    <w:p w:rsidR="00F4361C" w:rsidRPr="00937B85" w:rsidRDefault="00F4361C" w:rsidP="00F4361C">
      <w:pPr>
        <w:snapToGrid w:val="0"/>
        <w:spacing w:line="240" w:lineRule="exact"/>
        <w:ind w:firstLineChars="200" w:firstLine="360"/>
        <w:rPr>
          <w:rFonts w:ascii="仿宋_GB2312" w:eastAsia="仿宋_GB2312" w:hAnsi="宋体"/>
          <w:sz w:val="18"/>
          <w:szCs w:val="18"/>
        </w:rPr>
      </w:pPr>
      <w:r w:rsidRPr="00937B85">
        <w:rPr>
          <w:rFonts w:ascii="仿宋_GB2312" w:eastAsia="仿宋_GB2312" w:hAnsi="宋体" w:hint="eastAsia"/>
          <w:sz w:val="18"/>
          <w:szCs w:val="18"/>
        </w:rPr>
        <w:t>6.学生可以以各类科研训练项目作为毕业设计（毕业论文）选题，项目结题验收级别为“国家级”的，在评选优秀毕业设计（毕业论文）时优先推荐。</w:t>
      </w:r>
    </w:p>
    <w:p w:rsidR="00F4361C" w:rsidRDefault="00F4361C" w:rsidP="00F4361C">
      <w:pPr>
        <w:snapToGrid w:val="0"/>
        <w:spacing w:line="240" w:lineRule="exact"/>
        <w:ind w:firstLineChars="200" w:firstLine="360"/>
        <w:rPr>
          <w:rFonts w:ascii="仿宋_GB2312" w:eastAsia="仿宋_GB2312" w:hAnsi="宋体"/>
          <w:sz w:val="18"/>
          <w:szCs w:val="18"/>
        </w:rPr>
      </w:pPr>
      <w:r w:rsidRPr="00937B85">
        <w:rPr>
          <w:rFonts w:ascii="仿宋_GB2312" w:eastAsia="仿宋_GB2312" w:hAnsi="宋体" w:hint="eastAsia"/>
          <w:sz w:val="18"/>
          <w:szCs w:val="18"/>
        </w:rPr>
        <w:t>7.学生参加科研训练项目并在科研创新方面表现突出的，可在推荐免试研究生过程中给予附加分奖励，具体办法参见《北京交通大学关于推荐优秀应届本科毕业生免试攻读研究生的有关规定》。</w:t>
      </w:r>
    </w:p>
    <w:p w:rsidR="00F4361C" w:rsidRPr="00CD038E" w:rsidRDefault="00F4361C" w:rsidP="00F4361C">
      <w:pPr>
        <w:snapToGrid w:val="0"/>
        <w:spacing w:line="240" w:lineRule="exact"/>
        <w:ind w:firstLineChars="200" w:firstLine="360"/>
        <w:rPr>
          <w:rFonts w:ascii="仿宋_GB2312" w:eastAsia="仿宋_GB2312" w:hAnsi="宋体"/>
          <w:bCs/>
          <w:sz w:val="18"/>
          <w:szCs w:val="18"/>
        </w:rPr>
      </w:pPr>
    </w:p>
    <w:p w:rsidR="00F4361C" w:rsidRPr="00B84288" w:rsidRDefault="00F4361C" w:rsidP="00F4361C">
      <w:pPr>
        <w:snapToGrid w:val="0"/>
        <w:spacing w:line="240" w:lineRule="exact"/>
        <w:jc w:val="left"/>
        <w:rPr>
          <w:rFonts w:ascii="宋体" w:hAnsi="宋体"/>
          <w:b/>
          <w:bCs/>
          <w:kern w:val="0"/>
          <w:szCs w:val="21"/>
        </w:rPr>
      </w:pPr>
      <w:r w:rsidRPr="00B84288">
        <w:rPr>
          <w:rFonts w:ascii="宋体" w:hAnsi="宋体" w:hint="eastAsia"/>
          <w:b/>
          <w:bCs/>
          <w:kern w:val="0"/>
          <w:szCs w:val="21"/>
        </w:rPr>
        <w:t>二、学科竞赛</w:t>
      </w:r>
    </w:p>
    <w:p w:rsidR="00F4361C" w:rsidRDefault="00F4361C" w:rsidP="00F4361C">
      <w:pPr>
        <w:snapToGrid w:val="0"/>
        <w:spacing w:line="240" w:lineRule="exact"/>
        <w:ind w:firstLineChars="200" w:firstLine="360"/>
        <w:rPr>
          <w:rFonts w:ascii="仿宋_GB2312" w:eastAsia="仿宋_GB2312" w:hAnsi="宋体"/>
          <w:bCs/>
          <w:sz w:val="18"/>
          <w:szCs w:val="18"/>
        </w:rPr>
      </w:pPr>
      <w:r w:rsidRPr="00D77890">
        <w:rPr>
          <w:rFonts w:ascii="仿宋_GB2312" w:eastAsia="仿宋_GB2312" w:hAnsi="宋体" w:hint="eastAsia"/>
          <w:sz w:val="18"/>
          <w:szCs w:val="18"/>
        </w:rPr>
        <w:t>1</w:t>
      </w:r>
      <w:r>
        <w:rPr>
          <w:rFonts w:ascii="仿宋_GB2312" w:eastAsia="仿宋_GB2312" w:hAnsi="宋体" w:hint="eastAsia"/>
          <w:sz w:val="18"/>
          <w:szCs w:val="18"/>
        </w:rPr>
        <w:t>.</w:t>
      </w:r>
      <w:r w:rsidRPr="00D77890">
        <w:rPr>
          <w:rFonts w:ascii="仿宋_GB2312" w:eastAsia="仿宋_GB2312" w:hAnsi="宋体" w:hint="eastAsia"/>
          <w:sz w:val="18"/>
          <w:szCs w:val="18"/>
        </w:rPr>
        <w:t>参加校级及以上学科竞赛并获奖的学生，可根据竞赛级别（由学校认定）和</w:t>
      </w:r>
      <w:r w:rsidRPr="00D77890">
        <w:rPr>
          <w:rFonts w:ascii="仿宋_GB2312" w:eastAsia="仿宋_GB2312" w:hAnsi="宋体" w:hint="eastAsia"/>
          <w:bCs/>
          <w:sz w:val="18"/>
          <w:szCs w:val="18"/>
        </w:rPr>
        <w:t>获奖等级按表2标准</w:t>
      </w:r>
      <w:r w:rsidRPr="00D77890">
        <w:rPr>
          <w:rFonts w:ascii="仿宋_GB2312" w:eastAsia="仿宋_GB2312" w:hAnsi="宋体" w:hint="eastAsia"/>
          <w:sz w:val="18"/>
          <w:szCs w:val="18"/>
        </w:rPr>
        <w:t>获得相应的学分</w:t>
      </w:r>
      <w:r w:rsidRPr="003401DA">
        <w:rPr>
          <w:rFonts w:ascii="仿宋_GB2312" w:eastAsia="仿宋_GB2312" w:hAnsi="宋体" w:hint="eastAsia"/>
          <w:sz w:val="18"/>
          <w:szCs w:val="18"/>
        </w:rPr>
        <w:t>，成绩记为“P”</w:t>
      </w:r>
      <w:r w:rsidRPr="00D77890">
        <w:rPr>
          <w:rFonts w:ascii="仿宋_GB2312" w:eastAsia="仿宋_GB2312" w:hAnsi="宋体" w:hint="eastAsia"/>
          <w:sz w:val="18"/>
          <w:szCs w:val="18"/>
        </w:rPr>
        <w:t>。学校</w:t>
      </w:r>
      <w:r w:rsidRPr="00D77890">
        <w:rPr>
          <w:rFonts w:ascii="仿宋_GB2312" w:eastAsia="仿宋_GB2312" w:hAnsi="宋体" w:hint="eastAsia"/>
          <w:bCs/>
          <w:sz w:val="18"/>
          <w:szCs w:val="18"/>
        </w:rPr>
        <w:t>一般认定一等奖、二等奖和三等奖的获得者。</w:t>
      </w:r>
    </w:p>
    <w:p w:rsidR="00F4361C" w:rsidRDefault="00F4361C" w:rsidP="00F4361C">
      <w:pPr>
        <w:snapToGrid w:val="0"/>
        <w:spacing w:line="240" w:lineRule="exact"/>
        <w:rPr>
          <w:rFonts w:ascii="仿宋_GB2312" w:eastAsia="仿宋_GB2312" w:hAnsi="宋体"/>
          <w:bCs/>
          <w:sz w:val="18"/>
          <w:szCs w:val="18"/>
        </w:rPr>
      </w:pPr>
    </w:p>
    <w:p w:rsidR="00F4361C" w:rsidRPr="00D77890" w:rsidRDefault="00F4361C" w:rsidP="00F4361C">
      <w:pPr>
        <w:pStyle w:val="20"/>
        <w:snapToGrid w:val="0"/>
        <w:spacing w:line="240" w:lineRule="exact"/>
        <w:ind w:firstLineChars="0" w:firstLine="0"/>
        <w:jc w:val="center"/>
        <w:rPr>
          <w:rFonts w:ascii="仿宋_GB2312" w:eastAsia="仿宋_GB2312" w:hAnsi="宋体"/>
          <w:kern w:val="2"/>
          <w:sz w:val="18"/>
          <w:szCs w:val="18"/>
        </w:rPr>
      </w:pPr>
      <w:r w:rsidRPr="00D77890">
        <w:rPr>
          <w:rFonts w:ascii="仿宋_GB2312" w:eastAsia="仿宋_GB2312" w:hAnsi="宋体" w:hint="eastAsia"/>
          <w:kern w:val="2"/>
          <w:sz w:val="18"/>
          <w:szCs w:val="18"/>
        </w:rPr>
        <w:t>表2 本科生参加学科竞赛学分认定标准表</w:t>
      </w:r>
    </w:p>
    <w:tbl>
      <w:tblPr>
        <w:tblW w:w="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104"/>
        <w:gridCol w:w="996"/>
        <w:gridCol w:w="1011"/>
      </w:tblGrid>
      <w:tr w:rsidR="00F4361C" w:rsidRPr="00630DC5" w:rsidTr="005C57D3">
        <w:trPr>
          <w:trHeight w:hRule="exact" w:val="851"/>
          <w:jc w:val="center"/>
        </w:trPr>
        <w:tc>
          <w:tcPr>
            <w:tcW w:w="1890" w:type="dxa"/>
            <w:tcBorders>
              <w:tl2br w:val="single" w:sz="4" w:space="0" w:color="auto"/>
            </w:tcBorders>
            <w:vAlign w:val="center"/>
          </w:tcPr>
          <w:p w:rsidR="00F4361C" w:rsidRPr="00630DC5" w:rsidRDefault="00F4361C" w:rsidP="005C57D3">
            <w:pPr>
              <w:spacing w:line="240" w:lineRule="exact"/>
              <w:ind w:firstLine="360"/>
              <w:jc w:val="right"/>
              <w:rPr>
                <w:rFonts w:ascii="仿宋_GB2312" w:eastAsia="仿宋_GB2312" w:hAnsi="宋体"/>
                <w:bCs/>
                <w:sz w:val="18"/>
                <w:szCs w:val="18"/>
              </w:rPr>
            </w:pPr>
            <w:r w:rsidRPr="00630DC5">
              <w:rPr>
                <w:rFonts w:ascii="仿宋_GB2312" w:eastAsia="仿宋_GB2312" w:hAnsi="宋体" w:hint="eastAsia"/>
                <w:bCs/>
                <w:sz w:val="18"/>
                <w:szCs w:val="18"/>
              </w:rPr>
              <w:t>竞赛级别</w:t>
            </w:r>
          </w:p>
          <w:p w:rsidR="00F4361C" w:rsidRPr="00630DC5" w:rsidRDefault="00F4361C" w:rsidP="005C57D3">
            <w:pPr>
              <w:spacing w:line="240" w:lineRule="exact"/>
              <w:rPr>
                <w:rFonts w:ascii="仿宋_GB2312" w:eastAsia="仿宋_GB2312" w:hAnsi="宋体"/>
                <w:bCs/>
                <w:sz w:val="18"/>
                <w:szCs w:val="18"/>
              </w:rPr>
            </w:pPr>
            <w:r w:rsidRPr="00630DC5">
              <w:rPr>
                <w:rFonts w:ascii="仿宋_GB2312" w:eastAsia="仿宋_GB2312" w:hAnsi="宋体" w:hint="eastAsia"/>
                <w:bCs/>
                <w:sz w:val="18"/>
                <w:szCs w:val="18"/>
              </w:rPr>
              <w:t>获奖等级</w:t>
            </w:r>
          </w:p>
        </w:tc>
        <w:tc>
          <w:tcPr>
            <w:tcW w:w="1104"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一等奖</w:t>
            </w:r>
          </w:p>
        </w:tc>
        <w:tc>
          <w:tcPr>
            <w:tcW w:w="996"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二等奖</w:t>
            </w:r>
          </w:p>
        </w:tc>
        <w:tc>
          <w:tcPr>
            <w:tcW w:w="1011"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三等奖</w:t>
            </w:r>
          </w:p>
        </w:tc>
      </w:tr>
      <w:tr w:rsidR="00F4361C" w:rsidRPr="00630DC5" w:rsidTr="005C57D3">
        <w:trPr>
          <w:trHeight w:hRule="exact" w:val="369"/>
          <w:jc w:val="center"/>
        </w:trPr>
        <w:tc>
          <w:tcPr>
            <w:tcW w:w="1890" w:type="dxa"/>
            <w:vAlign w:val="center"/>
          </w:tcPr>
          <w:p w:rsidR="00F4361C" w:rsidRPr="00630DC5" w:rsidRDefault="00F4361C" w:rsidP="005C57D3">
            <w:pPr>
              <w:spacing w:line="240" w:lineRule="exact"/>
              <w:ind w:firstLine="360"/>
              <w:jc w:val="center"/>
              <w:rPr>
                <w:rFonts w:ascii="仿宋_GB2312" w:eastAsia="仿宋_GB2312" w:hAnsi="宋体"/>
                <w:bCs/>
                <w:sz w:val="18"/>
                <w:szCs w:val="18"/>
              </w:rPr>
            </w:pPr>
            <w:r w:rsidRPr="00630DC5">
              <w:rPr>
                <w:rFonts w:ascii="仿宋_GB2312" w:eastAsia="仿宋_GB2312" w:hAnsi="宋体" w:hint="eastAsia"/>
                <w:bCs/>
                <w:sz w:val="18"/>
                <w:szCs w:val="18"/>
              </w:rPr>
              <w:t>国际级</w:t>
            </w:r>
          </w:p>
        </w:tc>
        <w:tc>
          <w:tcPr>
            <w:tcW w:w="1104"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4</w:t>
            </w:r>
          </w:p>
        </w:tc>
        <w:tc>
          <w:tcPr>
            <w:tcW w:w="996"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3.5</w:t>
            </w:r>
          </w:p>
        </w:tc>
        <w:tc>
          <w:tcPr>
            <w:tcW w:w="1011"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3</w:t>
            </w:r>
          </w:p>
        </w:tc>
      </w:tr>
      <w:tr w:rsidR="00F4361C" w:rsidRPr="00630DC5" w:rsidTr="005C57D3">
        <w:trPr>
          <w:trHeight w:hRule="exact" w:val="369"/>
          <w:jc w:val="center"/>
        </w:trPr>
        <w:tc>
          <w:tcPr>
            <w:tcW w:w="1890" w:type="dxa"/>
            <w:vAlign w:val="center"/>
          </w:tcPr>
          <w:p w:rsidR="00F4361C" w:rsidRPr="00630DC5" w:rsidRDefault="00F4361C" w:rsidP="005C57D3">
            <w:pPr>
              <w:spacing w:line="240" w:lineRule="exact"/>
              <w:ind w:firstLine="360"/>
              <w:jc w:val="center"/>
              <w:rPr>
                <w:rFonts w:ascii="仿宋_GB2312" w:eastAsia="仿宋_GB2312" w:hAnsi="宋体"/>
                <w:bCs/>
                <w:sz w:val="18"/>
                <w:szCs w:val="18"/>
              </w:rPr>
            </w:pPr>
            <w:r w:rsidRPr="00630DC5">
              <w:rPr>
                <w:rFonts w:ascii="仿宋_GB2312" w:eastAsia="仿宋_GB2312" w:hAnsi="宋体" w:hint="eastAsia"/>
                <w:bCs/>
                <w:sz w:val="18"/>
                <w:szCs w:val="18"/>
              </w:rPr>
              <w:t>国家级</w:t>
            </w:r>
          </w:p>
        </w:tc>
        <w:tc>
          <w:tcPr>
            <w:tcW w:w="1104"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3</w:t>
            </w:r>
          </w:p>
        </w:tc>
        <w:tc>
          <w:tcPr>
            <w:tcW w:w="996"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2</w:t>
            </w:r>
          </w:p>
        </w:tc>
        <w:tc>
          <w:tcPr>
            <w:tcW w:w="1011"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1.5</w:t>
            </w:r>
          </w:p>
        </w:tc>
      </w:tr>
      <w:tr w:rsidR="00F4361C" w:rsidRPr="00630DC5" w:rsidTr="005C57D3">
        <w:trPr>
          <w:trHeight w:hRule="exact" w:val="369"/>
          <w:jc w:val="center"/>
        </w:trPr>
        <w:tc>
          <w:tcPr>
            <w:tcW w:w="1890" w:type="dxa"/>
            <w:vAlign w:val="center"/>
          </w:tcPr>
          <w:p w:rsidR="00F4361C" w:rsidRPr="00630DC5" w:rsidRDefault="00F4361C" w:rsidP="005C57D3">
            <w:pPr>
              <w:spacing w:line="240" w:lineRule="exact"/>
              <w:ind w:firstLine="360"/>
              <w:jc w:val="center"/>
              <w:rPr>
                <w:rFonts w:ascii="仿宋_GB2312" w:eastAsia="仿宋_GB2312" w:hAnsi="宋体"/>
                <w:bCs/>
                <w:sz w:val="18"/>
                <w:szCs w:val="18"/>
              </w:rPr>
            </w:pPr>
            <w:r w:rsidRPr="00630DC5">
              <w:rPr>
                <w:rFonts w:ascii="仿宋_GB2312" w:eastAsia="仿宋_GB2312" w:hAnsi="宋体" w:hint="eastAsia"/>
                <w:bCs/>
                <w:sz w:val="18"/>
                <w:szCs w:val="18"/>
              </w:rPr>
              <w:t>省（部）级</w:t>
            </w:r>
          </w:p>
        </w:tc>
        <w:tc>
          <w:tcPr>
            <w:tcW w:w="1104"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1.5</w:t>
            </w:r>
          </w:p>
        </w:tc>
        <w:tc>
          <w:tcPr>
            <w:tcW w:w="996"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1</w:t>
            </w:r>
          </w:p>
        </w:tc>
        <w:tc>
          <w:tcPr>
            <w:tcW w:w="1011"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0.5</w:t>
            </w:r>
          </w:p>
        </w:tc>
      </w:tr>
      <w:tr w:rsidR="00F4361C" w:rsidRPr="00630DC5" w:rsidTr="005C57D3">
        <w:trPr>
          <w:trHeight w:hRule="exact" w:val="369"/>
          <w:jc w:val="center"/>
        </w:trPr>
        <w:tc>
          <w:tcPr>
            <w:tcW w:w="1890" w:type="dxa"/>
            <w:vAlign w:val="center"/>
          </w:tcPr>
          <w:p w:rsidR="00F4361C" w:rsidRPr="00630DC5" w:rsidRDefault="00F4361C" w:rsidP="005C57D3">
            <w:pPr>
              <w:spacing w:line="240" w:lineRule="exact"/>
              <w:ind w:firstLine="360"/>
              <w:jc w:val="center"/>
              <w:rPr>
                <w:rFonts w:ascii="仿宋_GB2312" w:eastAsia="仿宋_GB2312" w:hAnsi="宋体"/>
                <w:bCs/>
                <w:sz w:val="18"/>
                <w:szCs w:val="18"/>
              </w:rPr>
            </w:pPr>
            <w:r w:rsidRPr="00630DC5">
              <w:rPr>
                <w:rFonts w:ascii="仿宋_GB2312" w:eastAsia="仿宋_GB2312" w:hAnsi="宋体" w:hint="eastAsia"/>
                <w:bCs/>
                <w:sz w:val="18"/>
                <w:szCs w:val="18"/>
              </w:rPr>
              <w:t>校级</w:t>
            </w:r>
          </w:p>
        </w:tc>
        <w:tc>
          <w:tcPr>
            <w:tcW w:w="1104" w:type="dxa"/>
            <w:vAlign w:val="center"/>
          </w:tcPr>
          <w:p w:rsidR="00F4361C" w:rsidRPr="00630DC5" w:rsidRDefault="00F4361C" w:rsidP="005C57D3">
            <w:pPr>
              <w:spacing w:line="240" w:lineRule="exact"/>
              <w:jc w:val="center"/>
              <w:rPr>
                <w:rFonts w:ascii="仿宋_GB2312" w:eastAsia="仿宋_GB2312" w:hAnsi="宋体"/>
                <w:bCs/>
                <w:sz w:val="18"/>
                <w:szCs w:val="18"/>
              </w:rPr>
            </w:pPr>
            <w:r w:rsidRPr="00630DC5">
              <w:rPr>
                <w:rFonts w:ascii="仿宋_GB2312" w:eastAsia="仿宋_GB2312" w:hAnsi="宋体" w:hint="eastAsia"/>
                <w:bCs/>
                <w:sz w:val="18"/>
                <w:szCs w:val="18"/>
              </w:rPr>
              <w:t>0.5</w:t>
            </w:r>
          </w:p>
        </w:tc>
        <w:tc>
          <w:tcPr>
            <w:tcW w:w="996" w:type="dxa"/>
            <w:vAlign w:val="center"/>
          </w:tcPr>
          <w:p w:rsidR="00F4361C" w:rsidRPr="00630DC5" w:rsidRDefault="00F4361C" w:rsidP="005C57D3">
            <w:pPr>
              <w:spacing w:line="240" w:lineRule="exact"/>
              <w:ind w:firstLine="360"/>
              <w:jc w:val="center"/>
              <w:rPr>
                <w:rFonts w:ascii="仿宋_GB2312" w:eastAsia="仿宋_GB2312" w:hAnsi="宋体"/>
                <w:bCs/>
                <w:sz w:val="18"/>
                <w:szCs w:val="18"/>
              </w:rPr>
            </w:pPr>
          </w:p>
        </w:tc>
        <w:tc>
          <w:tcPr>
            <w:tcW w:w="1011" w:type="dxa"/>
            <w:vAlign w:val="center"/>
          </w:tcPr>
          <w:p w:rsidR="00F4361C" w:rsidRPr="00630DC5" w:rsidRDefault="00F4361C" w:rsidP="005C57D3">
            <w:pPr>
              <w:spacing w:line="240" w:lineRule="exact"/>
              <w:ind w:firstLine="360"/>
              <w:jc w:val="center"/>
              <w:rPr>
                <w:rFonts w:ascii="仿宋_GB2312" w:eastAsia="仿宋_GB2312" w:hAnsi="宋体"/>
                <w:bCs/>
                <w:sz w:val="18"/>
                <w:szCs w:val="18"/>
              </w:rPr>
            </w:pPr>
          </w:p>
        </w:tc>
      </w:tr>
    </w:tbl>
    <w:p w:rsidR="00F4361C" w:rsidRPr="00D77890" w:rsidRDefault="00F4361C" w:rsidP="00F4361C">
      <w:pPr>
        <w:spacing w:line="240" w:lineRule="exact"/>
        <w:ind w:firstLineChars="200" w:firstLine="360"/>
        <w:rPr>
          <w:rFonts w:ascii="仿宋_GB2312" w:eastAsia="仿宋_GB2312" w:hAnsi="宋体"/>
          <w:bCs/>
          <w:sz w:val="18"/>
          <w:szCs w:val="18"/>
        </w:rPr>
      </w:pPr>
    </w:p>
    <w:p w:rsidR="00F4361C" w:rsidRPr="00D77890" w:rsidRDefault="00F4361C" w:rsidP="00F4361C">
      <w:pPr>
        <w:snapToGrid w:val="0"/>
        <w:spacing w:line="240" w:lineRule="exact"/>
        <w:ind w:firstLineChars="200" w:firstLine="360"/>
        <w:rPr>
          <w:rFonts w:ascii="仿宋_GB2312" w:eastAsia="仿宋_GB2312" w:hAnsi="宋体"/>
          <w:bCs/>
          <w:sz w:val="18"/>
          <w:szCs w:val="18"/>
        </w:rPr>
      </w:pPr>
      <w:r w:rsidRPr="00D77890">
        <w:rPr>
          <w:rFonts w:ascii="仿宋_GB2312" w:eastAsia="仿宋_GB2312" w:hAnsi="宋体" w:hint="eastAsia"/>
          <w:bCs/>
          <w:sz w:val="18"/>
          <w:szCs w:val="18"/>
        </w:rPr>
        <w:t>2.对设特等奖的</w:t>
      </w:r>
      <w:r w:rsidRPr="00D77890">
        <w:rPr>
          <w:rFonts w:ascii="仿宋_GB2312" w:eastAsia="仿宋_GB2312" w:hAnsi="宋体" w:hint="eastAsia"/>
          <w:sz w:val="18"/>
          <w:szCs w:val="18"/>
        </w:rPr>
        <w:t>竞赛</w:t>
      </w:r>
      <w:r w:rsidRPr="00D77890">
        <w:rPr>
          <w:rFonts w:ascii="仿宋_GB2312" w:eastAsia="仿宋_GB2312" w:hAnsi="宋体" w:hint="eastAsia"/>
          <w:bCs/>
          <w:sz w:val="18"/>
          <w:szCs w:val="18"/>
        </w:rPr>
        <w:t>，认定时特等奖视为一等奖，下属奖项顺序递减一个等级；对只排名次的竞赛，获奖等级由学校根据竞赛情况进行认定。</w:t>
      </w:r>
    </w:p>
    <w:p w:rsidR="00F4361C" w:rsidRPr="00D77890" w:rsidRDefault="00F4361C" w:rsidP="00F4361C">
      <w:pPr>
        <w:snapToGrid w:val="0"/>
        <w:spacing w:line="240" w:lineRule="exact"/>
        <w:ind w:firstLineChars="200" w:firstLine="360"/>
        <w:rPr>
          <w:rFonts w:ascii="仿宋_GB2312" w:eastAsia="仿宋_GB2312" w:hAnsi="宋体"/>
          <w:sz w:val="18"/>
          <w:szCs w:val="18"/>
        </w:rPr>
      </w:pPr>
      <w:r w:rsidRPr="00D77890">
        <w:rPr>
          <w:rFonts w:ascii="仿宋_GB2312" w:eastAsia="仿宋_GB2312" w:hAnsi="宋体" w:hint="eastAsia"/>
          <w:sz w:val="18"/>
          <w:szCs w:val="18"/>
        </w:rPr>
        <w:t>3</w:t>
      </w:r>
      <w:r>
        <w:rPr>
          <w:rFonts w:ascii="仿宋_GB2312" w:eastAsia="仿宋_GB2312" w:hAnsi="宋体" w:hint="eastAsia"/>
          <w:sz w:val="18"/>
          <w:szCs w:val="18"/>
        </w:rPr>
        <w:t>.</w:t>
      </w:r>
      <w:r w:rsidRPr="00D77890">
        <w:rPr>
          <w:rFonts w:ascii="仿宋_GB2312" w:eastAsia="仿宋_GB2312" w:hAnsi="宋体" w:hint="eastAsia"/>
          <w:sz w:val="18"/>
          <w:szCs w:val="18"/>
        </w:rPr>
        <w:t>学生参加同一学科竞赛获得不同级别的奖项时，按最高级别的标准获得学分认定，不重复认定。</w:t>
      </w:r>
    </w:p>
    <w:p w:rsidR="00F4361C" w:rsidRDefault="00F4361C" w:rsidP="00F4361C">
      <w:pPr>
        <w:snapToGrid w:val="0"/>
        <w:spacing w:line="240" w:lineRule="exact"/>
        <w:ind w:firstLineChars="200" w:firstLine="360"/>
        <w:jc w:val="left"/>
        <w:rPr>
          <w:rFonts w:ascii="仿宋_GB2312" w:eastAsia="仿宋_GB2312" w:hAnsi="宋体"/>
          <w:sz w:val="18"/>
          <w:szCs w:val="18"/>
        </w:rPr>
      </w:pPr>
      <w:r w:rsidRPr="003401DA">
        <w:rPr>
          <w:rFonts w:ascii="仿宋_GB2312" w:eastAsia="仿宋_GB2312" w:hAnsi="宋体" w:hint="eastAsia"/>
          <w:sz w:val="18"/>
          <w:szCs w:val="18"/>
        </w:rPr>
        <w:t>4.学生参加学校认定的学科竞赛获得奖励的，可在推荐免试研究生过程中给予附加分奖励，具体办法参见《北京交通大学关于推荐优秀应届本科毕业生免试攻读研究生的有关规定》。</w:t>
      </w:r>
    </w:p>
    <w:p w:rsidR="00F4361C" w:rsidRPr="00CD038E" w:rsidRDefault="00F4361C" w:rsidP="00F4361C">
      <w:pPr>
        <w:snapToGrid w:val="0"/>
        <w:spacing w:line="240" w:lineRule="exact"/>
        <w:ind w:firstLineChars="200" w:firstLine="361"/>
        <w:rPr>
          <w:rFonts w:ascii="宋体" w:hAnsi="宋体"/>
          <w:b/>
          <w:sz w:val="18"/>
          <w:szCs w:val="18"/>
        </w:rPr>
      </w:pPr>
    </w:p>
    <w:p w:rsidR="00591932" w:rsidRDefault="00F4361C" w:rsidP="00F4361C">
      <w:r w:rsidRPr="00CD038E">
        <w:rPr>
          <w:rFonts w:ascii="宋体" w:hAnsi="宋体" w:hint="eastAsia"/>
          <w:b/>
          <w:sz w:val="18"/>
          <w:szCs w:val="18"/>
        </w:rPr>
        <w:t>本办法自2012级开始施行，由教务处负责解释。原《北京交通大学本科生参加大学生科研创新活动管理办法》同时废止。</w:t>
      </w:r>
    </w:p>
    <w:sectPr w:rsidR="00591932" w:rsidSect="00F4361C">
      <w:pgSz w:w="11906" w:h="16838" w:code="9"/>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1C"/>
    <w:rsid w:val="00591932"/>
    <w:rsid w:val="00F43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1C"/>
    <w:pPr>
      <w:widowControl w:val="0"/>
      <w:jc w:val="both"/>
    </w:pPr>
    <w:rPr>
      <w:rFonts w:ascii="Times New Roman" w:eastAsia="宋体" w:hAnsi="Times New Roman" w:cs="Times New Roman"/>
      <w:szCs w:val="20"/>
    </w:rPr>
  </w:style>
  <w:style w:type="paragraph" w:styleId="2">
    <w:name w:val="heading 2"/>
    <w:basedOn w:val="a"/>
    <w:next w:val="a0"/>
    <w:link w:val="2Char"/>
    <w:qFormat/>
    <w:rsid w:val="00F4361C"/>
    <w:pPr>
      <w:snapToGrid w:val="0"/>
      <w:spacing w:line="400" w:lineRule="exact"/>
      <w:jc w:val="center"/>
      <w:outlineLvl w:val="1"/>
    </w:pPr>
    <w:rPr>
      <w:rFonts w:ascii="宋体" w:hAnsi="宋体"/>
      <w:b/>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F4361C"/>
    <w:rPr>
      <w:rFonts w:ascii="宋体" w:eastAsia="宋体" w:hAnsi="宋体" w:cs="Times New Roman"/>
      <w:b/>
      <w:kern w:val="0"/>
      <w:sz w:val="30"/>
      <w:szCs w:val="30"/>
    </w:rPr>
  </w:style>
  <w:style w:type="table" w:styleId="a4">
    <w:name w:val="Table Grid"/>
    <w:basedOn w:val="a2"/>
    <w:rsid w:val="00F436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普通(网站) + 段前: 自动 段后: 自动 行距: 固定值 20 磅"/>
    <w:basedOn w:val="a"/>
    <w:rsid w:val="00F4361C"/>
    <w:pPr>
      <w:widowControl/>
      <w:spacing w:line="400" w:lineRule="exact"/>
      <w:ind w:firstLineChars="200" w:firstLine="480"/>
      <w:jc w:val="left"/>
    </w:pPr>
    <w:rPr>
      <w:kern w:val="0"/>
      <w:sz w:val="24"/>
    </w:rPr>
  </w:style>
  <w:style w:type="paragraph" w:styleId="a0">
    <w:name w:val="Normal Indent"/>
    <w:basedOn w:val="a"/>
    <w:uiPriority w:val="99"/>
    <w:semiHidden/>
    <w:unhideWhenUsed/>
    <w:rsid w:val="00F436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1C"/>
    <w:pPr>
      <w:widowControl w:val="0"/>
      <w:jc w:val="both"/>
    </w:pPr>
    <w:rPr>
      <w:rFonts w:ascii="Times New Roman" w:eastAsia="宋体" w:hAnsi="Times New Roman" w:cs="Times New Roman"/>
      <w:szCs w:val="20"/>
    </w:rPr>
  </w:style>
  <w:style w:type="paragraph" w:styleId="2">
    <w:name w:val="heading 2"/>
    <w:basedOn w:val="a"/>
    <w:next w:val="a0"/>
    <w:link w:val="2Char"/>
    <w:qFormat/>
    <w:rsid w:val="00F4361C"/>
    <w:pPr>
      <w:snapToGrid w:val="0"/>
      <w:spacing w:line="400" w:lineRule="exact"/>
      <w:jc w:val="center"/>
      <w:outlineLvl w:val="1"/>
    </w:pPr>
    <w:rPr>
      <w:rFonts w:ascii="宋体" w:hAnsi="宋体"/>
      <w:b/>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F4361C"/>
    <w:rPr>
      <w:rFonts w:ascii="宋体" w:eastAsia="宋体" w:hAnsi="宋体" w:cs="Times New Roman"/>
      <w:b/>
      <w:kern w:val="0"/>
      <w:sz w:val="30"/>
      <w:szCs w:val="30"/>
    </w:rPr>
  </w:style>
  <w:style w:type="table" w:styleId="a4">
    <w:name w:val="Table Grid"/>
    <w:basedOn w:val="a2"/>
    <w:rsid w:val="00F436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普通(网站) + 段前: 自动 段后: 自动 行距: 固定值 20 磅"/>
    <w:basedOn w:val="a"/>
    <w:rsid w:val="00F4361C"/>
    <w:pPr>
      <w:widowControl/>
      <w:spacing w:line="400" w:lineRule="exact"/>
      <w:ind w:firstLineChars="200" w:firstLine="480"/>
      <w:jc w:val="left"/>
    </w:pPr>
    <w:rPr>
      <w:kern w:val="0"/>
      <w:sz w:val="24"/>
    </w:rPr>
  </w:style>
  <w:style w:type="paragraph" w:styleId="a0">
    <w:name w:val="Normal Indent"/>
    <w:basedOn w:val="a"/>
    <w:uiPriority w:val="99"/>
    <w:semiHidden/>
    <w:unhideWhenUsed/>
    <w:rsid w:val="00F436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2016-02-25T06:49:00Z</dcterms:created>
  <dcterms:modified xsi:type="dcterms:W3CDTF">2016-02-25T06:52:00Z</dcterms:modified>
</cp:coreProperties>
</file>